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楷体"/>
          <w:b/>
          <w:bCs/>
          <w:spacing w:val="-2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楷体"/>
          <w:b/>
          <w:bCs/>
          <w:spacing w:val="-26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 w:val="0"/>
          <w:bCs/>
          <w:sz w:val="36"/>
          <w:szCs w:val="28"/>
          <w:lang w:val="en-US" w:eastAsia="zh-CN"/>
        </w:rPr>
      </w:pPr>
      <w:r>
        <w:rPr>
          <w:rFonts w:hint="eastAsia" w:ascii="华文中宋" w:hAnsi="华文中宋" w:eastAsia="华文中宋"/>
          <w:b/>
          <w:bCs/>
          <w:spacing w:val="-26"/>
          <w:sz w:val="36"/>
          <w:szCs w:val="36"/>
          <w:lang w:val="en-US" w:eastAsia="zh-CN"/>
        </w:rPr>
        <w:t>省一级行业协会商会脱钩完成情况表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Lines="0" w:line="3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/>
          <w:sz w:val="24"/>
          <w:szCs w:val="28"/>
          <w:vertAlign w:val="baseline"/>
          <w:lang w:val="en-US" w:eastAsia="zh-CN"/>
        </w:rPr>
      </w:pPr>
      <w:r>
        <w:rPr>
          <w:rFonts w:hint="eastAsia" w:ascii="宋体" w:hAnsi="宋体"/>
          <w:b/>
          <w:sz w:val="24"/>
          <w:szCs w:val="28"/>
          <w:vertAlign w:val="baseline"/>
          <w:lang w:val="en-US" w:eastAsia="zh-CN"/>
        </w:rPr>
        <w:t>参加脱钩的行业协会商会(下表简称协会）共</w:t>
      </w:r>
      <w:r>
        <w:rPr>
          <w:rFonts w:hint="eastAsia" w:ascii="宋体" w:hAnsi="宋体"/>
          <w:b/>
          <w:sz w:val="24"/>
          <w:szCs w:val="28"/>
          <w:u w:val="single" w:color="auto"/>
          <w:vertAlign w:val="baseline"/>
          <w:lang w:val="en-US" w:eastAsia="zh-CN"/>
        </w:rPr>
        <w:t>　    　</w:t>
      </w:r>
      <w:r>
        <w:rPr>
          <w:rFonts w:hint="eastAsia" w:ascii="宋体" w:hAnsi="宋体"/>
          <w:b/>
          <w:sz w:val="24"/>
          <w:szCs w:val="28"/>
          <w:u w:val="none" w:color="auto"/>
          <w:vertAlign w:val="baseline"/>
          <w:lang w:val="en-US" w:eastAsia="zh-CN"/>
        </w:rPr>
        <w:t>个</w:t>
      </w:r>
      <w:r>
        <w:rPr>
          <w:rFonts w:hint="eastAsia" w:ascii="宋体" w:hAnsi="宋体"/>
          <w:b/>
          <w:sz w:val="24"/>
          <w:szCs w:val="28"/>
          <w:vertAlign w:val="baseline"/>
          <w:lang w:val="en-US" w:eastAsia="zh-CN"/>
        </w:rPr>
        <w:t>，其中：</w:t>
      </w:r>
    </w:p>
    <w:tbl>
      <w:tblPr>
        <w:tblStyle w:val="3"/>
        <w:tblW w:w="9375" w:type="dxa"/>
        <w:tblInd w:w="-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784"/>
        <w:gridCol w:w="1236"/>
        <w:gridCol w:w="960"/>
        <w:gridCol w:w="1157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机构分离</w:t>
            </w:r>
          </w:p>
        </w:tc>
        <w:tc>
          <w:tcPr>
            <w:tcW w:w="40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脱钩前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个协会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涉及代管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事业单位。脱钩后：事业单位并入行业协会商会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核销事业编制（     ）个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进行代管关系调整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。</w:t>
            </w:r>
          </w:p>
        </w:tc>
        <w:tc>
          <w:tcPr>
            <w:tcW w:w="462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脱钩前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个协会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与行政机关或者事业单位合署办公。脱钩后：采用租赁方式继续使用原场所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，另行租赁场所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，单独购买场所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职能分离</w:t>
            </w:r>
          </w:p>
        </w:tc>
        <w:tc>
          <w:tcPr>
            <w:tcW w:w="40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脱钩前，法律法规规定情形之外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协会行使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项行政机关法定行政职能，脱钩后已移交有关部门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项。</w:t>
            </w:r>
          </w:p>
        </w:tc>
        <w:tc>
          <w:tcPr>
            <w:tcW w:w="462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脱钩后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个有关部门向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向协会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委托或者购买服务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事项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资产财务分离</w:t>
            </w:r>
          </w:p>
        </w:tc>
        <w:tc>
          <w:tcPr>
            <w:tcW w:w="2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脱钩前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未执行《民间非营利组织会计制度》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个，脱钩后已执行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个。</w:t>
            </w:r>
          </w:p>
        </w:tc>
        <w:tc>
          <w:tcPr>
            <w:tcW w:w="335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脱钩前无独立账户的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个，脱钩后已建账户的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个；脱钩前未单独建账、独立核算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个，脱钩后已单独建账、独立核算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个。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脱钩前有财政预算的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个，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预算资金额度（  ）万元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脱钩后取消预算的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脱钩后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个协会承接购买服务，共涉及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事项，金额总计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万元。</w:t>
            </w:r>
          </w:p>
        </w:tc>
        <w:tc>
          <w:tcPr>
            <w:tcW w:w="335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脱钩前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个协会使用行政办公用房共计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default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。脱钩后，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个协会在符合核定范围内继续使用，共计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default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，其中，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个协会，采用租赁方式使用，共计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default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个协会无偿使用，共计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default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。清理腾退超出核定面积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default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，其中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个协会签订了书面移交协议。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脱钩后，参加脱钩的协会固定资产共计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万元，其中国有资产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万元；流动资产共计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万元，其中国有资产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人员管理分离</w:t>
            </w:r>
          </w:p>
        </w:tc>
        <w:tc>
          <w:tcPr>
            <w:tcW w:w="2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脱钩前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个协会存在现职和不担任现职但未办理退（离）休手续的公务员兼职共计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人。脱钩后，共清退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人，其中国家领导人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人次、省部级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人次、地厅级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人次，县处级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人次，其他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人次。脱钩后留在协会、退出公务员管理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人次，其中国家领导人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人次、省部级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人次、地厅级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人次，县处级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人次，其他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人次。</w:t>
            </w:r>
          </w:p>
        </w:tc>
        <w:tc>
          <w:tcPr>
            <w:tcW w:w="335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脱钩前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个协会存在领导干部退（离）休未满三年兼职的共计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人。脱钩后，退出兼职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人，其中国家领导人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人次、省部级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人次、地厅级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人次，县处级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人次，其他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人次；继续兼职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人次，其中国家领导人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人次、省部级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人次、地厅级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人次，县处级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人次，其他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人次。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脱钩前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个协会存在事业编制共计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个，脱钩后核销事业编制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个，保留事业编制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党建外事情况</w:t>
            </w:r>
          </w:p>
        </w:tc>
        <w:tc>
          <w:tcPr>
            <w:tcW w:w="49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脱钩后协会党组织中，党委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个，党总支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个，党支部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个，临时党组织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个，联合党支部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个，未建立党组织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个。与脱钩前相比，共新成立：党委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个，党总支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个，党支部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个，临时党组织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个，联合党支部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个。党的关系归口管理部门为：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　　　　　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。</w:t>
            </w:r>
          </w:p>
        </w:tc>
        <w:tc>
          <w:tcPr>
            <w:tcW w:w="366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脱钩前共有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个协会有外事审批权，脱钩后取消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个，保留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个。脱钩前外事管理机关为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　　　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none" w:color="auto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脱钩后外事管理机关为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u w:val="single" w:color="auto"/>
                <w:vertAlign w:val="baseline"/>
                <w:lang w:val="en-US" w:eastAsia="zh-CN"/>
              </w:rPr>
              <w:t>　　　　　　　　</w:t>
            </w: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37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21"/>
                <w:szCs w:val="28"/>
                <w:vertAlign w:val="baseline"/>
                <w:lang w:val="en-US" w:eastAsia="zh-CN"/>
              </w:rPr>
              <w:t>补充说明：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Lines="0" w:line="300" w:lineRule="exact"/>
        <w:ind w:left="0" w:leftChars="0" w:right="0" w:rightChars="0" w:firstLine="0" w:firstLineChars="0"/>
        <w:textAlignment w:val="auto"/>
        <w:outlineLvl w:val="9"/>
      </w:pPr>
      <w:r>
        <w:rPr>
          <w:rFonts w:hint="eastAsia"/>
          <w:b/>
          <w:bCs/>
          <w:lang w:eastAsia="zh-CN"/>
        </w:rPr>
        <w:t>填报单位：</w:t>
      </w:r>
      <w:r>
        <w:rPr>
          <w:rFonts w:hint="eastAsia"/>
          <w:u w:val="single" w:color="auto"/>
          <w:lang w:eastAsia="zh-CN"/>
        </w:rPr>
        <w:t>　　　　　　　　　　　　　　　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55009"/>
    <w:rsid w:val="09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2019-06-21T03:50:00Z</dcterms:created>
  <dc:creator>肥珍</dc:creator>
  <cp:lastModifiedBy>肥珍</cp:lastModifiedBy>
  <dcterms:modified xsi:type="dcterms:W3CDTF">2019-06-21T03:51:16Z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